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中国石油大学（北京）</w:t>
      </w:r>
    </w:p>
    <w:p>
      <w:pPr>
        <w:jc w:val="center"/>
        <w:rPr>
          <w:rFonts w:ascii="黑体" w:hAnsi="黑体" w:eastAsia="黑体"/>
          <w:sz w:val="36"/>
          <w:szCs w:val="36"/>
        </w:rPr>
      </w:pPr>
      <w:r>
        <w:rPr>
          <w:rFonts w:hint="eastAsia" w:ascii="黑体" w:hAnsi="黑体" w:eastAsia="黑体"/>
          <w:sz w:val="36"/>
          <w:szCs w:val="36"/>
        </w:rPr>
        <w:t>研究生教育质量与创新工程项目指南</w:t>
      </w:r>
    </w:p>
    <w:p>
      <w:pPr>
        <w:jc w:val="center"/>
        <w:rPr>
          <w:rFonts w:ascii="黑体" w:hAnsi="黑体" w:eastAsia="黑体"/>
          <w:sz w:val="36"/>
          <w:szCs w:val="36"/>
        </w:rPr>
      </w:pPr>
      <w:r>
        <w:rPr>
          <w:rFonts w:hint="eastAsia" w:ascii="黑体" w:hAnsi="黑体" w:eastAsia="黑体"/>
          <w:sz w:val="36"/>
          <w:szCs w:val="36"/>
        </w:rPr>
        <w:t>（</w:t>
      </w:r>
      <w:r>
        <w:rPr>
          <w:rFonts w:ascii="黑体" w:hAnsi="黑体" w:eastAsia="黑体"/>
          <w:sz w:val="36"/>
          <w:szCs w:val="36"/>
        </w:rPr>
        <w:t>2021</w:t>
      </w:r>
      <w:r>
        <w:rPr>
          <w:rFonts w:hint="eastAsia" w:ascii="黑体" w:hAnsi="黑体" w:eastAsia="黑体"/>
          <w:sz w:val="36"/>
          <w:szCs w:val="36"/>
        </w:rPr>
        <w:t>－</w:t>
      </w:r>
      <w:r>
        <w:rPr>
          <w:rFonts w:ascii="黑体" w:hAnsi="黑体" w:eastAsia="黑体"/>
          <w:sz w:val="36"/>
          <w:szCs w:val="36"/>
        </w:rPr>
        <w:t>2025</w:t>
      </w:r>
      <w:r>
        <w:rPr>
          <w:rFonts w:hint="eastAsia" w:ascii="黑体" w:hAnsi="黑体" w:eastAsia="黑体"/>
          <w:sz w:val="36"/>
          <w:szCs w:val="36"/>
        </w:rPr>
        <w:t>年）</w:t>
      </w:r>
    </w:p>
    <w:p>
      <w:pPr>
        <w:adjustRightInd w:val="0"/>
        <w:snapToGrid w:val="0"/>
        <w:spacing w:line="360" w:lineRule="auto"/>
        <w:jc w:val="center"/>
        <w:rPr>
          <w:rFonts w:ascii="Times New Roman" w:hAnsi="Times New Roman" w:eastAsia="黑体"/>
          <w:sz w:val="32"/>
          <w:szCs w:val="32"/>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为深入贯彻习近平总书记关于研究生教育工作的重要指示，全国教育大会、全国研究生教育会议精神和教育部 国家发展改革委 财政部《关于加快新时代研究生教育改革发展的意见》(教研〔2020〕9号)等文件精神，落实《关于加快新时代研究生教育改革发展的意见》（中石大京党〔2021〕8号）、《新时代研究生教育改革发展十项行动计划》（中石大京研〔2021〕16号）和“十四五”研究生教育规划等学校文件，建设高质量</w:t>
      </w:r>
      <w:r>
        <w:rPr>
          <w:rFonts w:ascii="仿宋" w:hAnsi="仿宋" w:eastAsia="仿宋"/>
          <w:sz w:val="28"/>
          <w:szCs w:val="28"/>
        </w:rPr>
        <w:t>研究生教育体系</w:t>
      </w:r>
      <w:r>
        <w:rPr>
          <w:rFonts w:hint="eastAsia" w:ascii="仿宋" w:hAnsi="仿宋" w:eastAsia="仿宋"/>
          <w:sz w:val="28"/>
          <w:szCs w:val="28"/>
        </w:rPr>
        <w:t>，特制定20</w:t>
      </w:r>
      <w:r>
        <w:rPr>
          <w:rFonts w:ascii="仿宋" w:hAnsi="仿宋" w:eastAsia="仿宋"/>
          <w:sz w:val="28"/>
          <w:szCs w:val="28"/>
        </w:rPr>
        <w:t>21</w:t>
      </w:r>
      <w:r>
        <w:rPr>
          <w:rFonts w:hint="eastAsia" w:ascii="仿宋" w:hAnsi="仿宋" w:eastAsia="仿宋"/>
          <w:sz w:val="28"/>
          <w:szCs w:val="28"/>
        </w:rPr>
        <w:t>-20</w:t>
      </w:r>
      <w:r>
        <w:rPr>
          <w:rFonts w:ascii="仿宋" w:hAnsi="仿宋" w:eastAsia="仿宋"/>
          <w:sz w:val="28"/>
          <w:szCs w:val="28"/>
        </w:rPr>
        <w:t>25</w:t>
      </w:r>
      <w:r>
        <w:rPr>
          <w:rFonts w:hint="eastAsia" w:ascii="仿宋" w:hAnsi="仿宋" w:eastAsia="仿宋"/>
          <w:sz w:val="28"/>
          <w:szCs w:val="28"/>
        </w:rPr>
        <w:t>年度研究生教育质量与创新工程项目申报指南，支持学校研究生教育教学改革与创新研究，培育优秀研究生教育教学成果。</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一、重点资助</w:t>
      </w:r>
      <w:r>
        <w:rPr>
          <w:rFonts w:ascii="仿宋" w:hAnsi="仿宋" w:eastAsia="仿宋"/>
          <w:b/>
          <w:sz w:val="28"/>
          <w:szCs w:val="28"/>
        </w:rPr>
        <w:t>领域</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（一）研究生思政教育</w:t>
      </w:r>
      <w:r>
        <w:rPr>
          <w:rFonts w:ascii="仿宋" w:hAnsi="仿宋" w:eastAsia="仿宋"/>
          <w:b/>
          <w:sz w:val="28"/>
          <w:szCs w:val="28"/>
        </w:rPr>
        <w:t>体系建设</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w:t>
      </w:r>
      <w:r>
        <w:rPr>
          <w:rFonts w:ascii="仿宋" w:hAnsi="仿宋" w:eastAsia="仿宋"/>
          <w:b/>
          <w:sz w:val="28"/>
          <w:szCs w:val="28"/>
        </w:rPr>
        <w:t>目标：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坚持</w:t>
      </w:r>
      <w:r>
        <w:rPr>
          <w:rFonts w:ascii="仿宋" w:hAnsi="仿宋" w:eastAsia="仿宋"/>
          <w:sz w:val="28"/>
          <w:szCs w:val="28"/>
        </w:rPr>
        <w:t>不懈用习近平新时代中国特色社会主义</w:t>
      </w:r>
      <w:r>
        <w:rPr>
          <w:rFonts w:hint="eastAsia" w:ascii="仿宋" w:hAnsi="仿宋" w:eastAsia="仿宋"/>
          <w:sz w:val="28"/>
          <w:szCs w:val="28"/>
        </w:rPr>
        <w:t>思想</w:t>
      </w:r>
      <w:r>
        <w:rPr>
          <w:rFonts w:ascii="仿宋" w:hAnsi="仿宋" w:eastAsia="仿宋"/>
          <w:sz w:val="28"/>
          <w:szCs w:val="28"/>
        </w:rPr>
        <w:t>铸魂育人</w:t>
      </w:r>
      <w:r>
        <w:rPr>
          <w:rFonts w:hint="eastAsia" w:ascii="仿宋" w:hAnsi="仿宋" w:eastAsia="仿宋"/>
          <w:sz w:val="28"/>
          <w:szCs w:val="28"/>
        </w:rPr>
        <w:t>，坚持</w:t>
      </w:r>
      <w:r>
        <w:rPr>
          <w:rFonts w:ascii="仿宋" w:hAnsi="仿宋" w:eastAsia="仿宋"/>
          <w:sz w:val="28"/>
          <w:szCs w:val="28"/>
        </w:rPr>
        <w:t>把思想政治工作</w:t>
      </w:r>
      <w:r>
        <w:rPr>
          <w:rFonts w:hint="eastAsia" w:ascii="仿宋" w:hAnsi="仿宋" w:eastAsia="仿宋"/>
          <w:sz w:val="28"/>
          <w:szCs w:val="28"/>
        </w:rPr>
        <w:t>贯穿</w:t>
      </w:r>
      <w:r>
        <w:rPr>
          <w:rFonts w:ascii="仿宋" w:hAnsi="仿宋" w:eastAsia="仿宋"/>
          <w:sz w:val="28"/>
          <w:szCs w:val="28"/>
        </w:rPr>
        <w:t>研究生教育教学全过程，推进全员全过程全方位育人</w:t>
      </w:r>
      <w:r>
        <w:rPr>
          <w:rFonts w:hint="eastAsia" w:ascii="仿宋" w:hAnsi="仿宋" w:eastAsia="仿宋"/>
          <w:sz w:val="28"/>
          <w:szCs w:val="28"/>
        </w:rPr>
        <w:t>，</w:t>
      </w:r>
      <w:r>
        <w:rPr>
          <w:rFonts w:ascii="仿宋" w:hAnsi="仿宋" w:eastAsia="仿宋"/>
          <w:sz w:val="28"/>
          <w:szCs w:val="28"/>
        </w:rPr>
        <w:t>全面提升研究生思想政治教育水平。</w:t>
      </w:r>
    </w:p>
    <w:p>
      <w:pPr>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建设</w:t>
      </w:r>
      <w:r>
        <w:rPr>
          <w:rFonts w:ascii="仿宋" w:hAnsi="仿宋" w:eastAsia="仿宋"/>
          <w:b/>
          <w:sz w:val="28"/>
          <w:szCs w:val="28"/>
        </w:rPr>
        <w:t>内容：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（1）坚持思政</w:t>
      </w:r>
      <w:r>
        <w:rPr>
          <w:rFonts w:ascii="仿宋" w:hAnsi="仿宋" w:eastAsia="仿宋"/>
          <w:sz w:val="28"/>
          <w:szCs w:val="28"/>
        </w:rPr>
        <w:t>课程在课程体系中的政治引领和价值引领作用，</w:t>
      </w:r>
      <w:r>
        <w:rPr>
          <w:rFonts w:hint="eastAsia" w:ascii="仿宋" w:hAnsi="仿宋" w:eastAsia="仿宋"/>
          <w:sz w:val="28"/>
          <w:szCs w:val="28"/>
        </w:rPr>
        <w:t>落实</w:t>
      </w:r>
      <w:r>
        <w:rPr>
          <w:rFonts w:ascii="仿宋" w:hAnsi="仿宋" w:eastAsia="仿宋"/>
          <w:sz w:val="28"/>
          <w:szCs w:val="28"/>
        </w:rPr>
        <w:t>新时代</w:t>
      </w:r>
      <w:r>
        <w:rPr>
          <w:rFonts w:hint="eastAsia" w:ascii="仿宋" w:hAnsi="仿宋" w:eastAsia="仿宋"/>
          <w:sz w:val="28"/>
          <w:szCs w:val="28"/>
        </w:rPr>
        <w:t>思政课</w:t>
      </w:r>
      <w:r>
        <w:rPr>
          <w:rFonts w:ascii="仿宋" w:hAnsi="仿宋" w:eastAsia="仿宋"/>
          <w:sz w:val="28"/>
          <w:szCs w:val="28"/>
        </w:rPr>
        <w:t>改革创新要求，</w:t>
      </w:r>
      <w:r>
        <w:rPr>
          <w:rFonts w:hint="eastAsia" w:ascii="仿宋" w:hAnsi="仿宋" w:eastAsia="仿宋"/>
          <w:sz w:val="28"/>
          <w:szCs w:val="28"/>
        </w:rPr>
        <w:t>培育若干思政</w:t>
      </w:r>
      <w:r>
        <w:rPr>
          <w:rFonts w:ascii="仿宋" w:hAnsi="仿宋" w:eastAsia="仿宋"/>
          <w:sz w:val="28"/>
          <w:szCs w:val="28"/>
        </w:rPr>
        <w:t>课程精品示范课</w:t>
      </w:r>
      <w:r>
        <w:rPr>
          <w:rFonts w:hint="eastAsia" w:ascii="仿宋" w:hAnsi="仿宋" w:eastAsia="仿宋"/>
          <w:sz w:val="28"/>
          <w:szCs w:val="28"/>
        </w:rPr>
        <w:t>，</w:t>
      </w:r>
      <w:r>
        <w:rPr>
          <w:rFonts w:ascii="仿宋" w:hAnsi="仿宋" w:eastAsia="仿宋"/>
          <w:sz w:val="28"/>
          <w:szCs w:val="28"/>
        </w:rPr>
        <w:t>不</w:t>
      </w:r>
      <w:r>
        <w:rPr>
          <w:rFonts w:hint="eastAsia" w:ascii="仿宋" w:hAnsi="仿宋" w:eastAsia="仿宋"/>
          <w:sz w:val="28"/>
          <w:szCs w:val="28"/>
        </w:rPr>
        <w:t>断</w:t>
      </w:r>
      <w:r>
        <w:rPr>
          <w:rFonts w:ascii="仿宋" w:hAnsi="仿宋" w:eastAsia="仿宋"/>
          <w:sz w:val="28"/>
          <w:szCs w:val="28"/>
        </w:rPr>
        <w:t>增强思政课的思想性、理论性和亲和力、针对性</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（2）充分发挥专业课教师“主力军”、专业课教学“主战场”、专业课课堂“主渠道”的作用，培育</w:t>
      </w:r>
      <w:r>
        <w:rPr>
          <w:rFonts w:ascii="仿宋" w:hAnsi="仿宋" w:eastAsia="仿宋"/>
          <w:sz w:val="28"/>
          <w:szCs w:val="28"/>
        </w:rPr>
        <w:t>若干课程思政</w:t>
      </w:r>
      <w:r>
        <w:rPr>
          <w:rFonts w:hint="eastAsia" w:ascii="仿宋" w:hAnsi="仿宋" w:eastAsia="仿宋"/>
          <w:sz w:val="28"/>
          <w:szCs w:val="28"/>
        </w:rPr>
        <w:t>精品</w:t>
      </w:r>
      <w:r>
        <w:rPr>
          <w:rFonts w:ascii="仿宋" w:hAnsi="仿宋" w:eastAsia="仿宋"/>
          <w:sz w:val="28"/>
          <w:szCs w:val="28"/>
        </w:rPr>
        <w:t>示范课程</w:t>
      </w:r>
      <w:r>
        <w:rPr>
          <w:rFonts w:hint="eastAsia" w:ascii="仿宋" w:hAnsi="仿宋" w:eastAsia="仿宋"/>
          <w:sz w:val="28"/>
          <w:szCs w:val="28"/>
        </w:rPr>
        <w:t>，形成优质</w:t>
      </w:r>
      <w:r>
        <w:rPr>
          <w:rFonts w:ascii="仿宋" w:hAnsi="仿宋" w:eastAsia="仿宋"/>
          <w:sz w:val="28"/>
          <w:szCs w:val="28"/>
        </w:rPr>
        <w:t>课程思政案例库</w:t>
      </w:r>
      <w:r>
        <w:rPr>
          <w:rFonts w:hint="eastAsia" w:ascii="仿宋" w:hAnsi="仿宋" w:eastAsia="仿宋"/>
          <w:sz w:val="28"/>
          <w:szCs w:val="28"/>
        </w:rPr>
        <w:t>，构建覆盖</w:t>
      </w:r>
      <w:r>
        <w:rPr>
          <w:rFonts w:ascii="仿宋" w:hAnsi="仿宋" w:eastAsia="仿宋"/>
          <w:sz w:val="28"/>
          <w:szCs w:val="28"/>
        </w:rPr>
        <w:t>全部学科专业</w:t>
      </w:r>
      <w:r>
        <w:rPr>
          <w:rFonts w:hint="eastAsia" w:ascii="仿宋" w:hAnsi="仿宋" w:eastAsia="仿宋"/>
          <w:sz w:val="28"/>
          <w:szCs w:val="28"/>
        </w:rPr>
        <w:t>的研究生</w:t>
      </w:r>
      <w:r>
        <w:rPr>
          <w:rFonts w:ascii="仿宋" w:hAnsi="仿宋" w:eastAsia="仿宋"/>
          <w:sz w:val="28"/>
          <w:szCs w:val="28"/>
        </w:rPr>
        <w:t>课程思政</w:t>
      </w:r>
      <w:r>
        <w:rPr>
          <w:rFonts w:hint="eastAsia" w:ascii="仿宋" w:hAnsi="仿宋" w:eastAsia="仿宋"/>
          <w:sz w:val="28"/>
          <w:szCs w:val="28"/>
        </w:rPr>
        <w:t>体系；</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培育一批导师思政的典型案例，全面落实研究生导师立德树人职责，发挥研究生培养第一责任人和成长成才引路人的作用，将专业教育与思想政治教育、心理健康教育等有机融合，发挥导师思政的示范带动作用</w:t>
      </w:r>
      <w:r>
        <w:rPr>
          <w:rFonts w:ascii="仿宋" w:hAnsi="仿宋" w:eastAsia="仿宋"/>
          <w:sz w:val="28"/>
          <w:szCs w:val="28"/>
        </w:rPr>
        <w:t>。</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（二）研究生课程与</w:t>
      </w:r>
      <w:r>
        <w:rPr>
          <w:rFonts w:ascii="仿宋" w:hAnsi="仿宋" w:eastAsia="仿宋"/>
          <w:b/>
          <w:sz w:val="28"/>
          <w:szCs w:val="28"/>
        </w:rPr>
        <w:t>教材</w:t>
      </w:r>
      <w:r>
        <w:rPr>
          <w:rFonts w:hint="eastAsia" w:ascii="仿宋" w:hAnsi="仿宋" w:eastAsia="仿宋"/>
          <w:b/>
          <w:sz w:val="28"/>
          <w:szCs w:val="28"/>
        </w:rPr>
        <w:t>建设</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w:t>
      </w:r>
      <w:r>
        <w:rPr>
          <w:rFonts w:ascii="仿宋" w:hAnsi="仿宋" w:eastAsia="仿宋"/>
          <w:b/>
          <w:sz w:val="28"/>
          <w:szCs w:val="28"/>
        </w:rPr>
        <w:t>目标：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以立德树人为</w:t>
      </w:r>
      <w:r>
        <w:rPr>
          <w:rFonts w:ascii="仿宋" w:hAnsi="仿宋" w:eastAsia="仿宋"/>
          <w:sz w:val="28"/>
          <w:szCs w:val="28"/>
        </w:rPr>
        <w:t>根本</w:t>
      </w:r>
      <w:r>
        <w:rPr>
          <w:rFonts w:hint="eastAsia" w:ascii="仿宋" w:hAnsi="仿宋" w:eastAsia="仿宋"/>
          <w:sz w:val="28"/>
          <w:szCs w:val="28"/>
        </w:rPr>
        <w:t>任务</w:t>
      </w:r>
      <w:r>
        <w:rPr>
          <w:rFonts w:ascii="仿宋" w:hAnsi="仿宋" w:eastAsia="仿宋"/>
          <w:sz w:val="28"/>
          <w:szCs w:val="28"/>
        </w:rPr>
        <w:t>，</w:t>
      </w:r>
      <w:r>
        <w:rPr>
          <w:rFonts w:hint="eastAsia" w:ascii="仿宋" w:hAnsi="仿宋" w:eastAsia="仿宋"/>
          <w:sz w:val="28"/>
          <w:szCs w:val="28"/>
        </w:rPr>
        <w:t>深化科教融合、</w:t>
      </w:r>
      <w:r>
        <w:rPr>
          <w:rFonts w:ascii="仿宋" w:hAnsi="仿宋" w:eastAsia="仿宋"/>
          <w:sz w:val="28"/>
          <w:szCs w:val="28"/>
        </w:rPr>
        <w:t>产教融合</w:t>
      </w:r>
      <w:r>
        <w:rPr>
          <w:rFonts w:hint="eastAsia" w:ascii="仿宋" w:hAnsi="仿宋" w:eastAsia="仿宋"/>
          <w:sz w:val="28"/>
          <w:szCs w:val="28"/>
        </w:rPr>
        <w:t>、学科交叉融合，</w:t>
      </w:r>
      <w:r>
        <w:rPr>
          <w:rFonts w:ascii="仿宋" w:hAnsi="仿宋" w:eastAsia="仿宋"/>
          <w:sz w:val="28"/>
          <w:szCs w:val="28"/>
        </w:rPr>
        <w:t>统筹规划、系统</w:t>
      </w:r>
      <w:r>
        <w:rPr>
          <w:rFonts w:hint="eastAsia" w:ascii="仿宋" w:hAnsi="仿宋" w:eastAsia="仿宋"/>
          <w:sz w:val="28"/>
          <w:szCs w:val="28"/>
        </w:rPr>
        <w:t>推进课程体系和课程教学改革</w:t>
      </w:r>
      <w:r>
        <w:rPr>
          <w:rFonts w:ascii="仿宋" w:hAnsi="仿宋" w:eastAsia="仿宋"/>
          <w:sz w:val="28"/>
          <w:szCs w:val="28"/>
        </w:rPr>
        <w:t>，</w:t>
      </w:r>
      <w:r>
        <w:rPr>
          <w:rFonts w:hint="eastAsia" w:ascii="仿宋" w:hAnsi="仿宋" w:eastAsia="仿宋"/>
          <w:sz w:val="28"/>
          <w:szCs w:val="28"/>
        </w:rPr>
        <w:t>着力打造建设一批研究生精品</w:t>
      </w:r>
      <w:r>
        <w:rPr>
          <w:rFonts w:ascii="仿宋" w:hAnsi="仿宋" w:eastAsia="仿宋"/>
          <w:sz w:val="28"/>
          <w:szCs w:val="28"/>
        </w:rPr>
        <w:t>课程</w:t>
      </w:r>
      <w:r>
        <w:rPr>
          <w:rFonts w:hint="eastAsia" w:ascii="仿宋" w:hAnsi="仿宋" w:eastAsia="仿宋"/>
          <w:sz w:val="28"/>
          <w:szCs w:val="28"/>
        </w:rPr>
        <w:t>和一批体现我校学科优势特色的高水平研究生教材，充分发挥示范引领作用。</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建设内容</w:t>
      </w:r>
      <w:r>
        <w:rPr>
          <w:rFonts w:ascii="仿宋" w:hAnsi="仿宋" w:eastAsia="仿宋"/>
          <w:b/>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（1）以</w:t>
      </w:r>
      <w:r>
        <w:rPr>
          <w:rFonts w:ascii="仿宋" w:hAnsi="仿宋" w:eastAsia="仿宋"/>
          <w:sz w:val="28"/>
          <w:szCs w:val="28"/>
        </w:rPr>
        <w:t>研究生核心课程为重点</w:t>
      </w:r>
      <w:r>
        <w:rPr>
          <w:rFonts w:hint="eastAsia" w:ascii="仿宋" w:hAnsi="仿宋" w:eastAsia="仿宋"/>
          <w:sz w:val="28"/>
          <w:szCs w:val="28"/>
        </w:rPr>
        <w:t>，培育建设</w:t>
      </w:r>
      <w:r>
        <w:rPr>
          <w:rFonts w:ascii="仿宋" w:hAnsi="仿宋" w:eastAsia="仿宋"/>
          <w:sz w:val="28"/>
          <w:szCs w:val="28"/>
        </w:rPr>
        <w:t>一批</w:t>
      </w:r>
      <w:r>
        <w:rPr>
          <w:rFonts w:hint="eastAsia" w:ascii="仿宋" w:hAnsi="仿宋" w:eastAsia="仿宋"/>
          <w:sz w:val="28"/>
          <w:szCs w:val="28"/>
        </w:rPr>
        <w:t>教学</w:t>
      </w:r>
      <w:r>
        <w:rPr>
          <w:rFonts w:ascii="仿宋" w:hAnsi="仿宋" w:eastAsia="仿宋"/>
          <w:sz w:val="28"/>
          <w:szCs w:val="28"/>
        </w:rPr>
        <w:t>内容突出“</w:t>
      </w:r>
      <w:r>
        <w:rPr>
          <w:rFonts w:hint="eastAsia" w:ascii="仿宋" w:hAnsi="仿宋" w:eastAsia="仿宋"/>
          <w:sz w:val="28"/>
          <w:szCs w:val="28"/>
        </w:rPr>
        <w:t>研</w:t>
      </w:r>
      <w:r>
        <w:rPr>
          <w:rFonts w:ascii="仿宋" w:hAnsi="仿宋" w:eastAsia="仿宋"/>
          <w:sz w:val="28"/>
          <w:szCs w:val="28"/>
        </w:rPr>
        <w:t>”</w:t>
      </w:r>
      <w:r>
        <w:rPr>
          <w:rFonts w:hint="eastAsia" w:ascii="仿宋" w:hAnsi="仿宋" w:eastAsia="仿宋"/>
          <w:sz w:val="28"/>
          <w:szCs w:val="28"/>
        </w:rPr>
        <w:t>字</w:t>
      </w:r>
      <w:r>
        <w:rPr>
          <w:rFonts w:ascii="仿宋" w:hAnsi="仿宋" w:eastAsia="仿宋"/>
          <w:sz w:val="28"/>
          <w:szCs w:val="28"/>
        </w:rPr>
        <w:t>、教学方法先进、教学资源丰富、</w:t>
      </w:r>
      <w:r>
        <w:rPr>
          <w:rFonts w:hint="eastAsia" w:ascii="仿宋" w:hAnsi="仿宋" w:eastAsia="仿宋"/>
          <w:sz w:val="28"/>
          <w:szCs w:val="28"/>
        </w:rPr>
        <w:t>教学团队优秀</w:t>
      </w:r>
      <w:r>
        <w:rPr>
          <w:rFonts w:ascii="仿宋" w:hAnsi="仿宋" w:eastAsia="仿宋"/>
          <w:sz w:val="28"/>
          <w:szCs w:val="28"/>
        </w:rPr>
        <w:t>的研究生精品示范课程</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b/>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）积极推进</w:t>
      </w:r>
      <w:r>
        <w:rPr>
          <w:rFonts w:ascii="仿宋" w:hAnsi="仿宋" w:eastAsia="仿宋"/>
          <w:sz w:val="28"/>
          <w:szCs w:val="28"/>
        </w:rPr>
        <w:t>网络课程建设，</w:t>
      </w:r>
      <w:r>
        <w:rPr>
          <w:rFonts w:hint="eastAsia" w:ascii="仿宋" w:hAnsi="仿宋" w:eastAsia="仿宋"/>
          <w:sz w:val="28"/>
          <w:szCs w:val="28"/>
        </w:rPr>
        <w:t>打造</w:t>
      </w:r>
      <w:r>
        <w:rPr>
          <w:rFonts w:ascii="仿宋" w:hAnsi="仿宋" w:eastAsia="仿宋"/>
          <w:sz w:val="28"/>
          <w:szCs w:val="28"/>
        </w:rPr>
        <w:t>一批精品</w:t>
      </w:r>
      <w:r>
        <w:rPr>
          <w:rFonts w:hint="eastAsia" w:ascii="仿宋" w:hAnsi="仿宋" w:eastAsia="仿宋"/>
          <w:sz w:val="28"/>
          <w:szCs w:val="28"/>
        </w:rPr>
        <w:t>网络</w:t>
      </w:r>
      <w:r>
        <w:rPr>
          <w:rFonts w:ascii="仿宋" w:hAnsi="仿宋" w:eastAsia="仿宋"/>
          <w:sz w:val="28"/>
          <w:szCs w:val="28"/>
        </w:rPr>
        <w:t>课程</w:t>
      </w:r>
      <w:r>
        <w:rPr>
          <w:rFonts w:hint="eastAsia" w:ascii="仿宋" w:hAnsi="仿宋" w:eastAsia="仿宋"/>
          <w:sz w:val="28"/>
          <w:szCs w:val="28"/>
        </w:rPr>
        <w:t>资源，促进优质教育资源应用与共享；</w:t>
      </w:r>
    </w:p>
    <w:p>
      <w:pPr>
        <w:adjustRightInd w:val="0"/>
        <w:snapToGrid w:val="0"/>
        <w:spacing w:line="360" w:lineRule="auto"/>
        <w:ind w:firstLine="560" w:firstLineChars="200"/>
        <w:rPr>
          <w:rFonts w:ascii="仿宋" w:hAnsi="仿宋" w:eastAsia="仿宋"/>
          <w:b/>
          <w:sz w:val="28"/>
          <w:szCs w:val="28"/>
        </w:rPr>
      </w:pPr>
      <w:r>
        <w:rPr>
          <w:rFonts w:hint="eastAsia" w:ascii="仿宋" w:hAnsi="仿宋" w:eastAsia="仿宋"/>
          <w:sz w:val="28"/>
          <w:szCs w:val="28"/>
        </w:rPr>
        <w:t>（3）强化</w:t>
      </w:r>
      <w:r>
        <w:rPr>
          <w:rFonts w:ascii="仿宋" w:hAnsi="仿宋" w:eastAsia="仿宋"/>
          <w:sz w:val="28"/>
          <w:szCs w:val="28"/>
        </w:rPr>
        <w:t>全英文课程体系</w:t>
      </w:r>
      <w:r>
        <w:rPr>
          <w:rFonts w:hint="eastAsia" w:ascii="仿宋" w:hAnsi="仿宋" w:eastAsia="仿宋"/>
          <w:sz w:val="28"/>
          <w:szCs w:val="28"/>
        </w:rPr>
        <w:t>建设</w:t>
      </w:r>
      <w:r>
        <w:rPr>
          <w:rFonts w:ascii="仿宋" w:hAnsi="仿宋" w:eastAsia="仿宋"/>
          <w:sz w:val="28"/>
          <w:szCs w:val="28"/>
        </w:rPr>
        <w:t>，</w:t>
      </w:r>
      <w:r>
        <w:rPr>
          <w:rFonts w:hint="eastAsia" w:ascii="仿宋" w:hAnsi="仿宋" w:eastAsia="仿宋"/>
          <w:sz w:val="28"/>
          <w:szCs w:val="28"/>
        </w:rPr>
        <w:t>实现</w:t>
      </w:r>
      <w:r>
        <w:rPr>
          <w:rFonts w:ascii="仿宋" w:hAnsi="仿宋" w:eastAsia="仿宋"/>
          <w:sz w:val="28"/>
          <w:szCs w:val="28"/>
        </w:rPr>
        <w:t>全英文课程</w:t>
      </w:r>
      <w:r>
        <w:rPr>
          <w:rFonts w:hint="eastAsia" w:ascii="仿宋" w:hAnsi="仿宋" w:eastAsia="仿宋"/>
          <w:sz w:val="28"/>
          <w:szCs w:val="28"/>
        </w:rPr>
        <w:t>覆盖</w:t>
      </w:r>
      <w:r>
        <w:rPr>
          <w:rFonts w:ascii="仿宋" w:hAnsi="仿宋" w:eastAsia="仿宋"/>
          <w:sz w:val="28"/>
          <w:szCs w:val="28"/>
        </w:rPr>
        <w:t>全部优势学科</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（4）以研究生</w:t>
      </w:r>
      <w:r>
        <w:rPr>
          <w:rFonts w:ascii="仿宋" w:hAnsi="仿宋" w:eastAsia="仿宋"/>
          <w:sz w:val="28"/>
          <w:szCs w:val="28"/>
        </w:rPr>
        <w:t>核心课程教材建设为</w:t>
      </w:r>
      <w:r>
        <w:rPr>
          <w:rFonts w:hint="eastAsia" w:ascii="仿宋" w:hAnsi="仿宋" w:eastAsia="仿宋"/>
          <w:sz w:val="28"/>
          <w:szCs w:val="28"/>
        </w:rPr>
        <w:t>重点，建设</w:t>
      </w:r>
      <w:r>
        <w:rPr>
          <w:rFonts w:ascii="仿宋" w:hAnsi="仿宋" w:eastAsia="仿宋"/>
          <w:sz w:val="28"/>
          <w:szCs w:val="28"/>
        </w:rPr>
        <w:t>出版</w:t>
      </w:r>
      <w:r>
        <w:rPr>
          <w:rFonts w:hint="eastAsia" w:ascii="仿宋" w:hAnsi="仿宋" w:eastAsia="仿宋"/>
          <w:sz w:val="28"/>
          <w:szCs w:val="28"/>
        </w:rPr>
        <w:t>一批</w:t>
      </w:r>
      <w:r>
        <w:rPr>
          <w:rFonts w:ascii="仿宋" w:hAnsi="仿宋" w:eastAsia="仿宋"/>
          <w:sz w:val="28"/>
          <w:szCs w:val="28"/>
        </w:rPr>
        <w:t>研究生系列教材</w:t>
      </w:r>
      <w:r>
        <w:rPr>
          <w:rFonts w:hint="eastAsia" w:ascii="仿宋" w:hAnsi="仿宋" w:eastAsia="仿宋"/>
          <w:sz w:val="28"/>
          <w:szCs w:val="28"/>
        </w:rPr>
        <w:t>。</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（三）工程领军</w:t>
      </w:r>
      <w:r>
        <w:rPr>
          <w:rFonts w:ascii="仿宋" w:hAnsi="仿宋" w:eastAsia="仿宋"/>
          <w:b/>
          <w:sz w:val="28"/>
          <w:szCs w:val="28"/>
        </w:rPr>
        <w:t>人才培养</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建设目标：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持续深化校企合作、产教融合，深化工程领军人才培养模式和体制机制改革，健全专业实践考核评价与激励机制，推进全日制和非全日制专业学位研究生分类培养与协调发展，促进以工程领军人才为引领的专业学位研究生教育高质量发展。</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建设内容：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（1）专业学位研究生全日制与非全日制分类培养与协调发展长效机制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（2）工程领军人才培养模式改革与体制机制创新</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（3）工程领军人才招生指标分配激励机制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（4）工程领军人才本-硕-博一体化培养模式改革与实践</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（5）提高工程领军人才学位授予水平长效机制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专业实践类课程</w:t>
      </w:r>
      <w:r>
        <w:rPr>
          <w:rFonts w:hint="eastAsia" w:ascii="仿宋" w:hAnsi="仿宋" w:eastAsia="仿宋"/>
          <w:sz w:val="28"/>
          <w:szCs w:val="28"/>
        </w:rPr>
        <w:t>及教材</w:t>
      </w:r>
      <w:r>
        <w:rPr>
          <w:rFonts w:ascii="仿宋" w:hAnsi="仿宋" w:eastAsia="仿宋"/>
          <w:sz w:val="28"/>
          <w:szCs w:val="28"/>
        </w:rPr>
        <w:t>建设</w:t>
      </w:r>
      <w:r>
        <w:rPr>
          <w:rFonts w:hint="eastAsia" w:ascii="仿宋" w:hAnsi="仿宋" w:eastAsia="仿宋"/>
          <w:sz w:val="28"/>
          <w:szCs w:val="28"/>
        </w:rPr>
        <w:t>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（7）高水平产教融合研究生联合培养基地建设有效提质方案（人才培养、科技合作与项目联合攻关、成果转化、招生培养就业联动机制等）</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（8）扩大非全日制专业学位研究生招生规模的长效激励机制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（9）专业实践环节监管和质量保障评价机制</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（四）研究生教育治理体系建设研究</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建设</w:t>
      </w:r>
      <w:r>
        <w:rPr>
          <w:rFonts w:ascii="仿宋" w:hAnsi="仿宋" w:eastAsia="仿宋"/>
          <w:b/>
          <w:sz w:val="28"/>
          <w:szCs w:val="28"/>
        </w:rPr>
        <w:t>目标：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坚持四个“面向”，聚焦新时代研究生教育发展的重大理论与实践问题，密切跟踪国内外发展前沿动态开展</w:t>
      </w:r>
      <w:r>
        <w:rPr>
          <w:rFonts w:ascii="仿宋" w:hAnsi="仿宋" w:eastAsia="仿宋"/>
          <w:sz w:val="28"/>
          <w:szCs w:val="28"/>
        </w:rPr>
        <w:t>相关研究</w:t>
      </w:r>
      <w:r>
        <w:rPr>
          <w:rFonts w:hint="eastAsia" w:ascii="仿宋" w:hAnsi="仿宋" w:eastAsia="仿宋"/>
          <w:sz w:val="28"/>
          <w:szCs w:val="28"/>
        </w:rPr>
        <w:t>，持续</w:t>
      </w:r>
      <w:r>
        <w:rPr>
          <w:rFonts w:ascii="仿宋" w:hAnsi="仿宋" w:eastAsia="仿宋"/>
          <w:sz w:val="28"/>
          <w:szCs w:val="28"/>
        </w:rPr>
        <w:t>提升研究生教学水平</w:t>
      </w:r>
      <w:r>
        <w:rPr>
          <w:rFonts w:hint="eastAsia" w:ascii="仿宋" w:hAnsi="仿宋" w:eastAsia="仿宋"/>
          <w:sz w:val="28"/>
          <w:szCs w:val="28"/>
        </w:rPr>
        <w:t>，</w:t>
      </w:r>
      <w:r>
        <w:rPr>
          <w:rFonts w:ascii="仿宋" w:hAnsi="仿宋" w:eastAsia="仿宋"/>
          <w:sz w:val="28"/>
          <w:szCs w:val="28"/>
        </w:rPr>
        <w:t>推进研究生教育治理体系</w:t>
      </w:r>
      <w:r>
        <w:rPr>
          <w:rFonts w:hint="eastAsia" w:ascii="仿宋" w:hAnsi="仿宋" w:eastAsia="仿宋"/>
          <w:sz w:val="28"/>
          <w:szCs w:val="28"/>
        </w:rPr>
        <w:t>和</w:t>
      </w:r>
      <w:r>
        <w:rPr>
          <w:rFonts w:ascii="仿宋" w:hAnsi="仿宋" w:eastAsia="仿宋"/>
          <w:sz w:val="28"/>
          <w:szCs w:val="28"/>
        </w:rPr>
        <w:t>治理能力</w:t>
      </w:r>
      <w:r>
        <w:rPr>
          <w:rFonts w:hint="eastAsia" w:ascii="仿宋" w:hAnsi="仿宋" w:eastAsia="仿宋"/>
          <w:sz w:val="28"/>
          <w:szCs w:val="28"/>
        </w:rPr>
        <w:t>现代化。</w:t>
      </w:r>
    </w:p>
    <w:p>
      <w:pPr>
        <w:adjustRightInd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建设内容</w:t>
      </w:r>
      <w:r>
        <w:rPr>
          <w:rFonts w:hint="eastAsia" w:ascii="仿宋" w:hAnsi="仿宋" w:eastAsia="仿宋"/>
          <w:sz w:val="28"/>
          <w:szCs w:val="28"/>
        </w:rPr>
        <w:t>（</w:t>
      </w:r>
      <w:r>
        <w:rPr>
          <w:rFonts w:ascii="仿宋" w:hAnsi="仿宋" w:eastAsia="仿宋"/>
          <w:sz w:val="28"/>
          <w:szCs w:val="28"/>
        </w:rPr>
        <w:t>研究</w:t>
      </w:r>
      <w:r>
        <w:rPr>
          <w:rFonts w:hint="eastAsia" w:ascii="仿宋" w:hAnsi="仿宋" w:eastAsia="仿宋"/>
          <w:sz w:val="28"/>
          <w:szCs w:val="28"/>
        </w:rPr>
        <w:t>主题包括</w:t>
      </w:r>
      <w:r>
        <w:rPr>
          <w:rFonts w:ascii="仿宋" w:hAnsi="仿宋" w:eastAsia="仿宋"/>
          <w:sz w:val="28"/>
          <w:szCs w:val="28"/>
        </w:rPr>
        <w:t>但不限于</w:t>
      </w:r>
      <w:r>
        <w:rPr>
          <w:rFonts w:hint="eastAsia" w:ascii="仿宋" w:hAnsi="仿宋" w:eastAsia="仿宋"/>
          <w:sz w:val="28"/>
          <w:szCs w:val="28"/>
        </w:rPr>
        <w:t>）</w:t>
      </w:r>
      <w:r>
        <w:rPr>
          <w:rFonts w:hint="eastAsia" w:ascii="仿宋" w:hAnsi="仿宋" w:eastAsia="仿宋"/>
          <w:b/>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（1）研究生教育</w:t>
      </w:r>
      <w:r>
        <w:rPr>
          <w:rFonts w:ascii="仿宋" w:hAnsi="仿宋" w:eastAsia="仿宋"/>
          <w:sz w:val="28"/>
          <w:szCs w:val="28"/>
        </w:rPr>
        <w:t>评价改革研究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（2）研究生人才培养模式/创新</w:t>
      </w:r>
      <w:r>
        <w:rPr>
          <w:rFonts w:ascii="仿宋" w:hAnsi="仿宋" w:eastAsia="仿宋"/>
          <w:sz w:val="28"/>
          <w:szCs w:val="28"/>
        </w:rPr>
        <w:t>能力培养</w:t>
      </w:r>
      <w:r>
        <w:rPr>
          <w:rFonts w:hint="eastAsia" w:ascii="仿宋" w:hAnsi="仿宋" w:eastAsia="仿宋"/>
          <w:sz w:val="28"/>
          <w:szCs w:val="28"/>
        </w:rPr>
        <w:t>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（3）研究生科教融合培养</w:t>
      </w:r>
      <w:r>
        <w:rPr>
          <w:rFonts w:ascii="仿宋" w:hAnsi="仿宋" w:eastAsia="仿宋"/>
          <w:sz w:val="28"/>
          <w:szCs w:val="28"/>
        </w:rPr>
        <w:t>体制机制研究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（4）研究生产教融合培养</w:t>
      </w:r>
      <w:r>
        <w:rPr>
          <w:rFonts w:ascii="仿宋" w:hAnsi="仿宋" w:eastAsia="仿宋"/>
          <w:sz w:val="28"/>
          <w:szCs w:val="28"/>
        </w:rPr>
        <w:t>体制机制研究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）研究生招生</w:t>
      </w:r>
      <w:r>
        <w:rPr>
          <w:rFonts w:ascii="仿宋" w:hAnsi="仿宋" w:eastAsia="仿宋"/>
          <w:sz w:val="28"/>
          <w:szCs w:val="28"/>
        </w:rPr>
        <w:t>制度</w:t>
      </w:r>
      <w:r>
        <w:rPr>
          <w:rFonts w:hint="eastAsia" w:ascii="仿宋" w:hAnsi="仿宋" w:eastAsia="仿宋"/>
          <w:sz w:val="28"/>
          <w:szCs w:val="28"/>
        </w:rPr>
        <w:t>改革</w:t>
      </w:r>
      <w:r>
        <w:rPr>
          <w:rFonts w:ascii="仿宋" w:hAnsi="仿宋" w:eastAsia="仿宋"/>
          <w:sz w:val="28"/>
          <w:szCs w:val="28"/>
        </w:rPr>
        <w:t>优化研究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）研究生分流退出实施机制研究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）研究生教育质量评价与</w:t>
      </w:r>
      <w:r>
        <w:rPr>
          <w:rFonts w:ascii="仿宋" w:hAnsi="仿宋" w:eastAsia="仿宋"/>
          <w:sz w:val="28"/>
          <w:szCs w:val="28"/>
        </w:rPr>
        <w:t>保障</w:t>
      </w:r>
      <w:r>
        <w:rPr>
          <w:rFonts w:hint="eastAsia" w:ascii="仿宋" w:hAnsi="仿宋" w:eastAsia="仿宋"/>
          <w:sz w:val="28"/>
          <w:szCs w:val="28"/>
        </w:rPr>
        <w:t>体系研究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）大数据背景下研究生教育信息化研究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）研究生思政教育体系研究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）校院两级管理体系研究</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二、项目类别</w:t>
      </w:r>
    </w:p>
    <w:p>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资助项目类别包括重点项目和一般项目。</w:t>
      </w:r>
    </w:p>
    <w:p>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重点项目是指对学校研究生教育发展具有重大影响，可望取得重大创新成果，并具有较高推广、应用价值的前瞻性、指导性研究项目。</w:t>
      </w:r>
    </w:p>
    <w:p>
      <w:pPr>
        <w:widowControl/>
        <w:adjustRightInd w:val="0"/>
        <w:snapToGrid w:val="0"/>
        <w:spacing w:line="360" w:lineRule="auto"/>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一般项目是指</w:t>
      </w:r>
      <w:r>
        <w:rPr>
          <w:rFonts w:hint="eastAsia" w:ascii="仿宋" w:hAnsi="仿宋" w:eastAsia="仿宋"/>
          <w:sz w:val="28"/>
          <w:szCs w:val="28"/>
        </w:rPr>
        <w:t>面向学术前沿和工作实践需要，</w:t>
      </w:r>
      <w:r>
        <w:rPr>
          <w:rFonts w:hint="eastAsia" w:ascii="仿宋" w:hAnsi="仿宋" w:eastAsia="仿宋"/>
          <w:color w:val="000000" w:themeColor="text1"/>
          <w:sz w:val="28"/>
          <w:szCs w:val="28"/>
          <w14:textFill>
            <w14:solidFill>
              <w14:schemeClr w14:val="tx1"/>
            </w14:solidFill>
          </w14:textFill>
        </w:rPr>
        <w:t>对研究生教育教学具有一定影响，项目成果实施后有助于解决具体问题的项目。</w:t>
      </w:r>
    </w:p>
    <w:p>
      <w:pPr>
        <w:adjustRightInd w:val="0"/>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三、相关事项</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sz w:val="28"/>
          <w:szCs w:val="28"/>
        </w:rPr>
        <w:t xml:space="preserve"> </w:t>
      </w:r>
      <w:r>
        <w:rPr>
          <w:rFonts w:hint="eastAsia" w:ascii="仿宋" w:hAnsi="仿宋" w:eastAsia="仿宋"/>
          <w:sz w:val="28"/>
          <w:szCs w:val="28"/>
        </w:rPr>
        <w:t>教学改革项目管理实行学校、二级单位和项目负责人三级责任制。二级单位应结合学校</w:t>
      </w:r>
      <w:r>
        <w:rPr>
          <w:rFonts w:ascii="仿宋" w:hAnsi="仿宋" w:eastAsia="仿宋"/>
          <w:sz w:val="28"/>
          <w:szCs w:val="28"/>
        </w:rPr>
        <w:t>“</w:t>
      </w:r>
      <w:r>
        <w:rPr>
          <w:rFonts w:hint="eastAsia" w:ascii="仿宋" w:hAnsi="仿宋" w:eastAsia="仿宋"/>
          <w:sz w:val="28"/>
          <w:szCs w:val="28"/>
        </w:rPr>
        <w:t>十四五</w:t>
      </w:r>
      <w:r>
        <w:rPr>
          <w:rFonts w:ascii="仿宋" w:hAnsi="仿宋" w:eastAsia="仿宋"/>
          <w:sz w:val="28"/>
          <w:szCs w:val="28"/>
        </w:rPr>
        <w:t>”</w:t>
      </w:r>
      <w:r>
        <w:rPr>
          <w:rFonts w:hint="eastAsia" w:ascii="仿宋" w:hAnsi="仿宋" w:eastAsia="仿宋"/>
          <w:sz w:val="28"/>
          <w:szCs w:val="28"/>
        </w:rPr>
        <w:t>规划任务</w:t>
      </w:r>
      <w:r>
        <w:rPr>
          <w:rFonts w:ascii="仿宋" w:hAnsi="仿宋" w:eastAsia="仿宋"/>
          <w:sz w:val="28"/>
          <w:szCs w:val="28"/>
        </w:rPr>
        <w:t>要求</w:t>
      </w:r>
      <w:r>
        <w:rPr>
          <w:rFonts w:hint="eastAsia" w:ascii="仿宋" w:hAnsi="仿宋" w:eastAsia="仿宋"/>
          <w:sz w:val="28"/>
          <w:szCs w:val="28"/>
        </w:rPr>
        <w:t>，统筹项目申报，严格</w:t>
      </w:r>
      <w:r>
        <w:rPr>
          <w:rFonts w:ascii="仿宋" w:hAnsi="仿宋" w:eastAsia="仿宋"/>
          <w:sz w:val="28"/>
          <w:szCs w:val="28"/>
        </w:rPr>
        <w:t>项目</w:t>
      </w:r>
      <w:r>
        <w:rPr>
          <w:rFonts w:hint="eastAsia" w:ascii="仿宋" w:hAnsi="仿宋" w:eastAsia="仿宋"/>
          <w:sz w:val="28"/>
          <w:szCs w:val="28"/>
        </w:rPr>
        <w:t>审核与</w:t>
      </w:r>
      <w:r>
        <w:rPr>
          <w:rFonts w:ascii="仿宋" w:hAnsi="仿宋" w:eastAsia="仿宋"/>
          <w:sz w:val="28"/>
          <w:szCs w:val="28"/>
        </w:rPr>
        <w:t>管理</w:t>
      </w:r>
      <w:r>
        <w:rPr>
          <w:rFonts w:hint="eastAsia" w:ascii="仿宋" w:hAnsi="仿宋" w:eastAsia="仿宋"/>
          <w:sz w:val="28"/>
          <w:szCs w:val="28"/>
        </w:rPr>
        <w:t>，对教学改革项目负直接管理责任。项目负责人对教学改革项目负直接实施责任。</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.重点</w:t>
      </w:r>
      <w:r>
        <w:rPr>
          <w:rFonts w:ascii="仿宋" w:hAnsi="仿宋" w:eastAsia="仿宋"/>
          <w:sz w:val="28"/>
          <w:szCs w:val="28"/>
        </w:rPr>
        <w:t>项目由二级单位组织</w:t>
      </w:r>
      <w:r>
        <w:rPr>
          <w:rFonts w:hint="eastAsia" w:ascii="仿宋" w:hAnsi="仿宋" w:eastAsia="仿宋"/>
          <w:sz w:val="28"/>
          <w:szCs w:val="28"/>
        </w:rPr>
        <w:t>集体立项</w:t>
      </w:r>
      <w:r>
        <w:rPr>
          <w:rFonts w:ascii="仿宋" w:hAnsi="仿宋" w:eastAsia="仿宋"/>
          <w:sz w:val="28"/>
          <w:szCs w:val="28"/>
        </w:rPr>
        <w:t>申报，</w:t>
      </w:r>
      <w:r>
        <w:rPr>
          <w:rFonts w:hint="eastAsia" w:ascii="仿宋" w:hAnsi="仿宋" w:eastAsia="仿宋"/>
          <w:sz w:val="28"/>
          <w:szCs w:val="28"/>
        </w:rPr>
        <w:t>各</w:t>
      </w:r>
      <w:r>
        <w:rPr>
          <w:rFonts w:ascii="仿宋" w:hAnsi="仿宋" w:eastAsia="仿宋"/>
          <w:sz w:val="28"/>
          <w:szCs w:val="28"/>
        </w:rPr>
        <w:t>重点项目可下设</w:t>
      </w:r>
      <w:r>
        <w:rPr>
          <w:rFonts w:hint="eastAsia" w:ascii="仿宋" w:hAnsi="仿宋" w:eastAsia="仿宋"/>
          <w:sz w:val="28"/>
          <w:szCs w:val="28"/>
        </w:rPr>
        <w:t>若干</w:t>
      </w:r>
      <w:r>
        <w:rPr>
          <w:rFonts w:ascii="仿宋" w:hAnsi="仿宋" w:eastAsia="仿宋"/>
          <w:sz w:val="28"/>
          <w:szCs w:val="28"/>
        </w:rPr>
        <w:t>子</w:t>
      </w:r>
      <w:r>
        <w:rPr>
          <w:rFonts w:hint="eastAsia" w:ascii="仿宋" w:hAnsi="仿宋" w:eastAsia="仿宋"/>
          <w:sz w:val="28"/>
          <w:szCs w:val="28"/>
        </w:rPr>
        <w:t>课题</w:t>
      </w:r>
      <w:r>
        <w:rPr>
          <w:rFonts w:ascii="仿宋" w:hAnsi="仿宋" w:eastAsia="仿宋"/>
          <w:sz w:val="28"/>
          <w:szCs w:val="28"/>
        </w:rPr>
        <w:t>。原则上</w:t>
      </w:r>
      <w:r>
        <w:rPr>
          <w:rFonts w:hint="eastAsia" w:ascii="仿宋" w:hAnsi="仿宋" w:eastAsia="仿宋"/>
          <w:sz w:val="28"/>
          <w:szCs w:val="28"/>
        </w:rPr>
        <w:t>不</w:t>
      </w:r>
      <w:r>
        <w:rPr>
          <w:rFonts w:ascii="仿宋" w:hAnsi="仿宋" w:eastAsia="仿宋"/>
          <w:sz w:val="28"/>
          <w:szCs w:val="28"/>
        </w:rPr>
        <w:t>支持教师单独申报</w:t>
      </w:r>
      <w:r>
        <w:rPr>
          <w:rFonts w:hint="eastAsia" w:ascii="仿宋" w:hAnsi="仿宋" w:eastAsia="仿宋"/>
          <w:sz w:val="28"/>
          <w:szCs w:val="28"/>
        </w:rPr>
        <w:t>。</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申报立项项目要求研究目标明确，研究方案科学合理，预期成果丰富，经费预算合理。要求至少调研5所国内外高校相关改革情况，形成改革调研报告和实施方案。</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项目负责人有且只能有1人。负责人在研项目和本次申报项目合计不得超过2项。</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hint="eastAsia"/>
        </w:rPr>
        <w:t xml:space="preserve"> </w:t>
      </w:r>
      <w:r>
        <w:rPr>
          <w:rFonts w:hint="eastAsia" w:ascii="仿宋" w:hAnsi="仿宋" w:eastAsia="仿宋"/>
          <w:sz w:val="28"/>
          <w:szCs w:val="28"/>
        </w:rPr>
        <w:t>获批项目建设周期超过一年（含延期后超过一年）的项目将严格开展中期考核和验收考核，建设期一年及以内的项目仅进行验收考核。未达到中期考核标准的，将中止项目，停止后续拨款。</w:t>
      </w:r>
    </w:p>
    <w:p>
      <w:pPr>
        <w:adjustRightInd w:val="0"/>
        <w:snapToGrid w:val="0"/>
        <w:spacing w:line="360" w:lineRule="auto"/>
        <w:ind w:firstLine="560" w:firstLineChars="200"/>
        <w:rPr>
          <w:rFonts w:ascii="仿宋" w:hAnsi="仿宋" w:eastAsia="仿宋"/>
          <w:color w:val="auto"/>
          <w:sz w:val="28"/>
          <w:szCs w:val="28"/>
          <w:highlight w:val="none"/>
        </w:rPr>
      </w:pPr>
      <w:r>
        <w:rPr>
          <w:rFonts w:ascii="仿宋" w:hAnsi="仿宋" w:eastAsia="仿宋"/>
          <w:sz w:val="28"/>
          <w:szCs w:val="28"/>
        </w:rPr>
        <w:t>6</w:t>
      </w:r>
      <w:r>
        <w:rPr>
          <w:rFonts w:hint="eastAsia" w:ascii="仿宋" w:hAnsi="仿宋" w:eastAsia="仿宋"/>
          <w:sz w:val="28"/>
          <w:szCs w:val="28"/>
        </w:rPr>
        <w:t>.未</w:t>
      </w:r>
      <w:r>
        <w:rPr>
          <w:rFonts w:ascii="仿宋" w:hAnsi="仿宋" w:eastAsia="仿宋"/>
          <w:sz w:val="28"/>
          <w:szCs w:val="28"/>
        </w:rPr>
        <w:t>达到验收考核标准的</w:t>
      </w:r>
      <w:r>
        <w:rPr>
          <w:rFonts w:hint="eastAsia" w:ascii="仿宋" w:hAnsi="仿宋" w:eastAsia="仿宋"/>
          <w:sz w:val="28"/>
          <w:szCs w:val="28"/>
        </w:rPr>
        <w:t>或无故退出的，项目</w:t>
      </w:r>
      <w:r>
        <w:rPr>
          <w:rFonts w:ascii="仿宋" w:hAnsi="仿宋" w:eastAsia="仿宋"/>
          <w:sz w:val="28"/>
          <w:szCs w:val="28"/>
        </w:rPr>
        <w:t>按</w:t>
      </w:r>
      <w:r>
        <w:rPr>
          <w:rFonts w:hint="eastAsia" w:ascii="仿宋" w:hAnsi="仿宋" w:eastAsia="仿宋"/>
          <w:sz w:val="28"/>
          <w:szCs w:val="28"/>
        </w:rPr>
        <w:t>验收</w:t>
      </w:r>
      <w:r>
        <w:rPr>
          <w:rFonts w:ascii="仿宋" w:hAnsi="仿宋" w:eastAsia="仿宋"/>
          <w:sz w:val="28"/>
          <w:szCs w:val="28"/>
        </w:rPr>
        <w:t>不通过处理</w:t>
      </w:r>
      <w:r>
        <w:rPr>
          <w:rFonts w:hint="eastAsia" w:ascii="仿宋" w:hAnsi="仿宋" w:eastAsia="仿宋"/>
          <w:sz w:val="28"/>
          <w:szCs w:val="28"/>
        </w:rPr>
        <w:t>。项目建设周期为1年的，延期不超过</w:t>
      </w:r>
      <w:r>
        <w:rPr>
          <w:rFonts w:ascii="仿宋" w:hAnsi="仿宋" w:eastAsia="仿宋"/>
          <w:sz w:val="28"/>
          <w:szCs w:val="28"/>
        </w:rPr>
        <w:t>1</w:t>
      </w:r>
      <w:r>
        <w:rPr>
          <w:rFonts w:hint="eastAsia" w:ascii="仿宋" w:hAnsi="仿宋" w:eastAsia="仿宋"/>
          <w:sz w:val="28"/>
          <w:szCs w:val="28"/>
        </w:rPr>
        <w:t>年，累计</w:t>
      </w:r>
      <w:r>
        <w:rPr>
          <w:rFonts w:ascii="仿宋" w:hAnsi="仿宋" w:eastAsia="仿宋"/>
          <w:sz w:val="28"/>
          <w:szCs w:val="28"/>
        </w:rPr>
        <w:t>2</w:t>
      </w:r>
      <w:r>
        <w:rPr>
          <w:rFonts w:hint="eastAsia" w:ascii="仿宋" w:hAnsi="仿宋" w:eastAsia="仿宋"/>
          <w:sz w:val="28"/>
          <w:szCs w:val="28"/>
        </w:rPr>
        <w:t>年仍未提交验收的，项目按验收不通过处理；</w:t>
      </w:r>
      <w:bookmarkStart w:id="0" w:name="_GoBack"/>
      <w:r>
        <w:rPr>
          <w:rFonts w:hint="eastAsia" w:ascii="仿宋" w:hAnsi="仿宋" w:eastAsia="仿宋"/>
          <w:color w:val="auto"/>
          <w:sz w:val="28"/>
          <w:szCs w:val="28"/>
          <w:highlight w:val="none"/>
        </w:rPr>
        <w:t>项目建设周期为2年的，延期不超过</w:t>
      </w:r>
      <w:r>
        <w:rPr>
          <w:rFonts w:ascii="仿宋" w:hAnsi="仿宋" w:eastAsia="仿宋"/>
          <w:color w:val="auto"/>
          <w:sz w:val="28"/>
          <w:szCs w:val="28"/>
          <w:highlight w:val="none"/>
        </w:rPr>
        <w:t>1</w:t>
      </w:r>
      <w:r>
        <w:rPr>
          <w:rFonts w:hint="eastAsia" w:ascii="仿宋" w:hAnsi="仿宋" w:eastAsia="仿宋"/>
          <w:color w:val="auto"/>
          <w:sz w:val="28"/>
          <w:szCs w:val="28"/>
          <w:highlight w:val="none"/>
        </w:rPr>
        <w:t>年，累计</w:t>
      </w:r>
      <w:r>
        <w:rPr>
          <w:rFonts w:ascii="仿宋" w:hAnsi="仿宋" w:eastAsia="仿宋"/>
          <w:color w:val="auto"/>
          <w:sz w:val="28"/>
          <w:szCs w:val="28"/>
          <w:highlight w:val="none"/>
        </w:rPr>
        <w:t>3</w:t>
      </w:r>
      <w:r>
        <w:rPr>
          <w:rFonts w:hint="eastAsia" w:ascii="仿宋" w:hAnsi="仿宋" w:eastAsia="仿宋"/>
          <w:color w:val="auto"/>
          <w:sz w:val="28"/>
          <w:szCs w:val="28"/>
          <w:highlight w:val="none"/>
        </w:rPr>
        <w:t>年仍不能提交验收的，项目按验收不通过处理。</w:t>
      </w:r>
    </w:p>
    <w:bookmarkEnd w:id="0"/>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.项目验收不通过的，2年之内不能申报研究生教育质量与创新工程项目。</w:t>
      </w:r>
    </w:p>
    <w:p>
      <w:pPr>
        <w:widowControl/>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.根据学校教育教学成果奖申报要求，是否有立项的教育教学改革研究项目是原则性条件之一，研究生教育质量与创新工程项目即是我校校内的研究生教育教学改革研究项目。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53733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YzQxMDNhYWViNWNkMDcxYTgyYWVlYjFhYjBlNWIifQ=="/>
  </w:docVars>
  <w:rsids>
    <w:rsidRoot w:val="00237D95"/>
    <w:rsid w:val="00006E1B"/>
    <w:rsid w:val="000120BC"/>
    <w:rsid w:val="000151D1"/>
    <w:rsid w:val="00017338"/>
    <w:rsid w:val="0002081F"/>
    <w:rsid w:val="000333DF"/>
    <w:rsid w:val="00045038"/>
    <w:rsid w:val="000646CF"/>
    <w:rsid w:val="00066FCD"/>
    <w:rsid w:val="00084FF4"/>
    <w:rsid w:val="00090F36"/>
    <w:rsid w:val="000912EE"/>
    <w:rsid w:val="00096107"/>
    <w:rsid w:val="000A786A"/>
    <w:rsid w:val="000B5B16"/>
    <w:rsid w:val="000C09AD"/>
    <w:rsid w:val="000D4336"/>
    <w:rsid w:val="000E4E36"/>
    <w:rsid w:val="001121F5"/>
    <w:rsid w:val="001224AC"/>
    <w:rsid w:val="00130600"/>
    <w:rsid w:val="00141D7B"/>
    <w:rsid w:val="0014371A"/>
    <w:rsid w:val="0014470E"/>
    <w:rsid w:val="00180C71"/>
    <w:rsid w:val="0019317E"/>
    <w:rsid w:val="001A491E"/>
    <w:rsid w:val="001B1452"/>
    <w:rsid w:val="001C4937"/>
    <w:rsid w:val="001D04EF"/>
    <w:rsid w:val="001D2179"/>
    <w:rsid w:val="001F5BB7"/>
    <w:rsid w:val="0020095A"/>
    <w:rsid w:val="002013FD"/>
    <w:rsid w:val="00217C33"/>
    <w:rsid w:val="00227B06"/>
    <w:rsid w:val="00227D32"/>
    <w:rsid w:val="00237D95"/>
    <w:rsid w:val="00277BB4"/>
    <w:rsid w:val="00283D2F"/>
    <w:rsid w:val="002866A9"/>
    <w:rsid w:val="00297079"/>
    <w:rsid w:val="00297508"/>
    <w:rsid w:val="002A35CA"/>
    <w:rsid w:val="002A6037"/>
    <w:rsid w:val="002B221E"/>
    <w:rsid w:val="002B7BDE"/>
    <w:rsid w:val="002C4676"/>
    <w:rsid w:val="002D14DE"/>
    <w:rsid w:val="002D665E"/>
    <w:rsid w:val="002D69D1"/>
    <w:rsid w:val="002E4EDF"/>
    <w:rsid w:val="002E7148"/>
    <w:rsid w:val="00304E25"/>
    <w:rsid w:val="00306EA6"/>
    <w:rsid w:val="00307376"/>
    <w:rsid w:val="00334386"/>
    <w:rsid w:val="00334588"/>
    <w:rsid w:val="00371F18"/>
    <w:rsid w:val="003774A1"/>
    <w:rsid w:val="00377BD4"/>
    <w:rsid w:val="00377D3C"/>
    <w:rsid w:val="00383907"/>
    <w:rsid w:val="003B4266"/>
    <w:rsid w:val="003B55B9"/>
    <w:rsid w:val="003B680E"/>
    <w:rsid w:val="003D4266"/>
    <w:rsid w:val="003D4B75"/>
    <w:rsid w:val="003E09D6"/>
    <w:rsid w:val="003E0CF6"/>
    <w:rsid w:val="003E1C99"/>
    <w:rsid w:val="003E20BD"/>
    <w:rsid w:val="003E5F45"/>
    <w:rsid w:val="003F4578"/>
    <w:rsid w:val="00411461"/>
    <w:rsid w:val="004146EC"/>
    <w:rsid w:val="00444054"/>
    <w:rsid w:val="00446508"/>
    <w:rsid w:val="0045244A"/>
    <w:rsid w:val="00457304"/>
    <w:rsid w:val="004577B5"/>
    <w:rsid w:val="00465810"/>
    <w:rsid w:val="00480BED"/>
    <w:rsid w:val="00483FCD"/>
    <w:rsid w:val="004A0E01"/>
    <w:rsid w:val="004A0EDC"/>
    <w:rsid w:val="004A7C04"/>
    <w:rsid w:val="004B6BEC"/>
    <w:rsid w:val="004D7F09"/>
    <w:rsid w:val="004E185B"/>
    <w:rsid w:val="004E7969"/>
    <w:rsid w:val="005220EA"/>
    <w:rsid w:val="00542A47"/>
    <w:rsid w:val="00555CAF"/>
    <w:rsid w:val="0057036C"/>
    <w:rsid w:val="00593C6D"/>
    <w:rsid w:val="005B12F7"/>
    <w:rsid w:val="005D0A61"/>
    <w:rsid w:val="005F4525"/>
    <w:rsid w:val="006169A5"/>
    <w:rsid w:val="006171EB"/>
    <w:rsid w:val="00634B29"/>
    <w:rsid w:val="006420D9"/>
    <w:rsid w:val="00665A53"/>
    <w:rsid w:val="006825CF"/>
    <w:rsid w:val="006A0F06"/>
    <w:rsid w:val="006A72C3"/>
    <w:rsid w:val="006B372A"/>
    <w:rsid w:val="006B4457"/>
    <w:rsid w:val="006B51CF"/>
    <w:rsid w:val="006D008F"/>
    <w:rsid w:val="006D15FD"/>
    <w:rsid w:val="006D6450"/>
    <w:rsid w:val="006D6E25"/>
    <w:rsid w:val="006E5CF7"/>
    <w:rsid w:val="006F4D8D"/>
    <w:rsid w:val="00715634"/>
    <w:rsid w:val="00724815"/>
    <w:rsid w:val="00726FC7"/>
    <w:rsid w:val="00745599"/>
    <w:rsid w:val="00746D73"/>
    <w:rsid w:val="00792E64"/>
    <w:rsid w:val="00795977"/>
    <w:rsid w:val="007968CE"/>
    <w:rsid w:val="00797407"/>
    <w:rsid w:val="007C265F"/>
    <w:rsid w:val="007D7CC4"/>
    <w:rsid w:val="007E41F6"/>
    <w:rsid w:val="007E7CE2"/>
    <w:rsid w:val="007F20FA"/>
    <w:rsid w:val="00800254"/>
    <w:rsid w:val="008148C8"/>
    <w:rsid w:val="00844D0C"/>
    <w:rsid w:val="00854C76"/>
    <w:rsid w:val="008629C4"/>
    <w:rsid w:val="00864A0C"/>
    <w:rsid w:val="008B0BBA"/>
    <w:rsid w:val="008B6488"/>
    <w:rsid w:val="008D36EB"/>
    <w:rsid w:val="008F1296"/>
    <w:rsid w:val="00901C5E"/>
    <w:rsid w:val="00902EA6"/>
    <w:rsid w:val="00925B0D"/>
    <w:rsid w:val="0092793F"/>
    <w:rsid w:val="009313EB"/>
    <w:rsid w:val="0095219F"/>
    <w:rsid w:val="009C01F8"/>
    <w:rsid w:val="009C1910"/>
    <w:rsid w:val="009C3C3D"/>
    <w:rsid w:val="009C595C"/>
    <w:rsid w:val="009E0158"/>
    <w:rsid w:val="009E781F"/>
    <w:rsid w:val="009F3B0F"/>
    <w:rsid w:val="00A14D54"/>
    <w:rsid w:val="00A1589A"/>
    <w:rsid w:val="00A15AED"/>
    <w:rsid w:val="00A15C14"/>
    <w:rsid w:val="00A47124"/>
    <w:rsid w:val="00A573F5"/>
    <w:rsid w:val="00A84325"/>
    <w:rsid w:val="00AB1D8D"/>
    <w:rsid w:val="00AD4D11"/>
    <w:rsid w:val="00B056AE"/>
    <w:rsid w:val="00B12A01"/>
    <w:rsid w:val="00B24EF2"/>
    <w:rsid w:val="00B34C52"/>
    <w:rsid w:val="00B35136"/>
    <w:rsid w:val="00B510FD"/>
    <w:rsid w:val="00B623BA"/>
    <w:rsid w:val="00BA2B75"/>
    <w:rsid w:val="00BB57F9"/>
    <w:rsid w:val="00BC37AE"/>
    <w:rsid w:val="00BF7B71"/>
    <w:rsid w:val="00C04A55"/>
    <w:rsid w:val="00C11909"/>
    <w:rsid w:val="00C12422"/>
    <w:rsid w:val="00C1664E"/>
    <w:rsid w:val="00C213CC"/>
    <w:rsid w:val="00C21B91"/>
    <w:rsid w:val="00C24035"/>
    <w:rsid w:val="00C374B3"/>
    <w:rsid w:val="00C43CC4"/>
    <w:rsid w:val="00C455BA"/>
    <w:rsid w:val="00C53878"/>
    <w:rsid w:val="00C60DF3"/>
    <w:rsid w:val="00C665D6"/>
    <w:rsid w:val="00C81415"/>
    <w:rsid w:val="00C83E0C"/>
    <w:rsid w:val="00CA1117"/>
    <w:rsid w:val="00CA55B8"/>
    <w:rsid w:val="00CB494E"/>
    <w:rsid w:val="00CE6292"/>
    <w:rsid w:val="00CF2ABF"/>
    <w:rsid w:val="00CF66BC"/>
    <w:rsid w:val="00D0730D"/>
    <w:rsid w:val="00D1316A"/>
    <w:rsid w:val="00D30E13"/>
    <w:rsid w:val="00D50E80"/>
    <w:rsid w:val="00D82BC2"/>
    <w:rsid w:val="00DA5510"/>
    <w:rsid w:val="00DA62BC"/>
    <w:rsid w:val="00DB1BD0"/>
    <w:rsid w:val="00DE0D40"/>
    <w:rsid w:val="00DE567F"/>
    <w:rsid w:val="00DF64AE"/>
    <w:rsid w:val="00E002FB"/>
    <w:rsid w:val="00E05ECB"/>
    <w:rsid w:val="00E060FD"/>
    <w:rsid w:val="00E13AF3"/>
    <w:rsid w:val="00E17EE0"/>
    <w:rsid w:val="00E248A3"/>
    <w:rsid w:val="00E255D0"/>
    <w:rsid w:val="00E4102C"/>
    <w:rsid w:val="00E61518"/>
    <w:rsid w:val="00E64591"/>
    <w:rsid w:val="00E6546D"/>
    <w:rsid w:val="00E70327"/>
    <w:rsid w:val="00E745B9"/>
    <w:rsid w:val="00E773E6"/>
    <w:rsid w:val="00E94F70"/>
    <w:rsid w:val="00E957C2"/>
    <w:rsid w:val="00EC581D"/>
    <w:rsid w:val="00EE281C"/>
    <w:rsid w:val="00EE66F0"/>
    <w:rsid w:val="00F003B8"/>
    <w:rsid w:val="00F1418D"/>
    <w:rsid w:val="00F15BA7"/>
    <w:rsid w:val="00F330A5"/>
    <w:rsid w:val="00F34655"/>
    <w:rsid w:val="00F35EC9"/>
    <w:rsid w:val="00F365DF"/>
    <w:rsid w:val="00F526B9"/>
    <w:rsid w:val="00F615A9"/>
    <w:rsid w:val="00FA098F"/>
    <w:rsid w:val="00FB0889"/>
    <w:rsid w:val="00FB6D52"/>
    <w:rsid w:val="00FE3F11"/>
    <w:rsid w:val="00FF6DC7"/>
    <w:rsid w:val="06337AEE"/>
    <w:rsid w:val="0714666D"/>
    <w:rsid w:val="23442717"/>
    <w:rsid w:val="3227669B"/>
    <w:rsid w:val="398E34A3"/>
    <w:rsid w:val="4B1934F2"/>
    <w:rsid w:val="555B0286"/>
    <w:rsid w:val="5C6D41BC"/>
    <w:rsid w:val="6CB4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2325</Words>
  <Characters>2358</Characters>
  <Lines>17</Lines>
  <Paragraphs>4</Paragraphs>
  <TotalTime>13</TotalTime>
  <ScaleCrop>false</ScaleCrop>
  <LinksUpToDate>false</LinksUpToDate>
  <CharactersWithSpaces>2362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2021-11-24T06:32:00Z</dcterms:created>
  <dc:creator>duwei</dc:creator>
  <cp:lastModifiedBy>zhang</cp:lastModifiedBy>
  <dcterms:modified xsi:type="dcterms:W3CDTF">2022-11-21T02:25:42Z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2FAED839C3F948D4913DCF08E17F6724</vt:lpwstr>
  </property>
</Properties>
</file>