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1：</w:t>
      </w:r>
      <w:r>
        <w:rPr>
          <w:rFonts w:hint="eastAsia" w:ascii="仿宋" w:hAnsi="仿宋" w:eastAsia="仿宋"/>
          <w:b/>
          <w:sz w:val="28"/>
          <w:szCs w:val="28"/>
        </w:rPr>
        <w:t>2022年</w:t>
      </w:r>
      <w:r>
        <w:rPr>
          <w:rFonts w:ascii="仿宋" w:hAnsi="仿宋" w:eastAsia="仿宋"/>
          <w:b/>
          <w:sz w:val="28"/>
          <w:szCs w:val="28"/>
        </w:rPr>
        <w:t>研究生教育</w:t>
      </w:r>
      <w:r>
        <w:rPr>
          <w:rFonts w:hint="eastAsia" w:ascii="仿宋" w:hAnsi="仿宋" w:eastAsia="仿宋"/>
          <w:b/>
          <w:sz w:val="28"/>
          <w:szCs w:val="28"/>
        </w:rPr>
        <w:t>质量</w:t>
      </w:r>
      <w:r>
        <w:rPr>
          <w:rFonts w:ascii="仿宋" w:hAnsi="仿宋" w:eastAsia="仿宋"/>
          <w:b/>
          <w:sz w:val="28"/>
          <w:szCs w:val="28"/>
        </w:rPr>
        <w:t>与创新工程</w:t>
      </w:r>
      <w:r>
        <w:rPr>
          <w:rFonts w:hint="eastAsia" w:ascii="仿宋" w:hAnsi="仿宋" w:eastAsia="仿宋"/>
          <w:b/>
          <w:sz w:val="28"/>
          <w:szCs w:val="28"/>
        </w:rPr>
        <w:t>重点</w:t>
      </w:r>
      <w:r>
        <w:rPr>
          <w:rFonts w:ascii="仿宋" w:hAnsi="仿宋" w:eastAsia="仿宋"/>
          <w:b/>
          <w:sz w:val="28"/>
          <w:szCs w:val="28"/>
        </w:rPr>
        <w:t>项目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96"/>
        <w:gridCol w:w="1493"/>
        <w:gridCol w:w="5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项目类别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项目内容</w:t>
            </w:r>
          </w:p>
        </w:tc>
        <w:tc>
          <w:tcPr>
            <w:tcW w:w="307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考核方式及指标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（成果须含但不限于）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研究生课程思政建设类项目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课程思政示范课程建设子课题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实施周期：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年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验收指标：</w:t>
            </w:r>
            <w:r>
              <w:rPr>
                <w:rFonts w:ascii="仿宋" w:hAnsi="仿宋" w:eastAsia="仿宋"/>
              </w:rPr>
              <w:t xml:space="preserve"> 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提交完整的课程思政教学设计及</w:t>
            </w:r>
            <w:r>
              <w:rPr>
                <w:rFonts w:ascii="仿宋" w:hAnsi="仿宋" w:eastAsia="仿宋"/>
              </w:rPr>
              <w:t>案例</w:t>
            </w:r>
            <w:r>
              <w:rPr>
                <w:rFonts w:hint="eastAsia" w:ascii="仿宋" w:hAnsi="仿宋" w:eastAsia="仿宋"/>
              </w:rPr>
              <w:t>（不少于5个）</w:t>
            </w:r>
            <w:r>
              <w:rPr>
                <w:rFonts w:ascii="仿宋" w:hAnsi="仿宋" w:eastAsia="仿宋"/>
              </w:rPr>
              <w:t>相关材料</w:t>
            </w:r>
            <w:r>
              <w:rPr>
                <w:rFonts w:hint="eastAsia" w:ascii="仿宋" w:hAnsi="仿宋" w:eastAsia="仿宋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通过网络教学平台发布不少于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个课程</w:t>
            </w:r>
            <w:r>
              <w:rPr>
                <w:rFonts w:ascii="仿宋" w:hAnsi="仿宋" w:eastAsia="仿宋"/>
              </w:rPr>
              <w:t>思政</w:t>
            </w:r>
            <w:r>
              <w:rPr>
                <w:rFonts w:hint="eastAsia" w:ascii="仿宋" w:hAnsi="仿宋" w:eastAsia="仿宋"/>
              </w:rPr>
              <w:t>微视频（时长不少于5分钟）。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</w:p>
        </w:tc>
        <w:tc>
          <w:tcPr>
            <w:tcW w:w="702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研究生课程建设类项目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研究生精品</w:t>
            </w:r>
            <w:r>
              <w:rPr>
                <w:rFonts w:ascii="仿宋" w:hAnsi="仿宋" w:eastAsia="仿宋"/>
                <w:b/>
              </w:rPr>
              <w:t>示范课</w:t>
            </w:r>
            <w:r>
              <w:rPr>
                <w:rFonts w:hint="eastAsia" w:ascii="仿宋" w:hAnsi="仿宋" w:eastAsia="仿宋"/>
                <w:b/>
              </w:rPr>
              <w:t>培育</w:t>
            </w:r>
            <w:r>
              <w:rPr>
                <w:rFonts w:ascii="仿宋" w:hAnsi="仿宋" w:eastAsia="仿宋"/>
                <w:b/>
              </w:rPr>
              <w:t>建设</w:t>
            </w:r>
            <w:r>
              <w:rPr>
                <w:rFonts w:hint="eastAsia" w:ascii="仿宋" w:hAnsi="仿宋" w:eastAsia="仿宋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建设周期：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年</w:t>
            </w:r>
          </w:p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中期指标：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完成课程</w:t>
            </w:r>
            <w:r>
              <w:rPr>
                <w:rFonts w:ascii="仿宋" w:hAnsi="仿宋" w:eastAsia="仿宋"/>
              </w:rPr>
              <w:t>讲稿和案例</w:t>
            </w:r>
            <w:r>
              <w:rPr>
                <w:rFonts w:hint="eastAsia" w:ascii="仿宋" w:hAnsi="仿宋" w:eastAsia="仿宋"/>
              </w:rPr>
              <w:t>设置</w:t>
            </w:r>
            <w:r>
              <w:rPr>
                <w:rFonts w:ascii="仿宋" w:hAnsi="仿宋" w:eastAsia="仿宋"/>
              </w:rPr>
              <w:t>、优质</w:t>
            </w:r>
            <w:r>
              <w:rPr>
                <w:rFonts w:hint="eastAsia" w:ascii="仿宋" w:hAnsi="仿宋" w:eastAsia="仿宋"/>
              </w:rPr>
              <w:t>数字化</w:t>
            </w:r>
            <w:r>
              <w:rPr>
                <w:rFonts w:ascii="仿宋" w:hAnsi="仿宋" w:eastAsia="仿宋"/>
              </w:rPr>
              <w:t>资源建设、教学模式改革</w:t>
            </w:r>
            <w:r>
              <w:rPr>
                <w:rFonts w:hint="eastAsia" w:ascii="仿宋" w:hAnsi="仿宋" w:eastAsia="仿宋"/>
              </w:rPr>
              <w:t>等课程</w:t>
            </w:r>
            <w:r>
              <w:rPr>
                <w:rFonts w:ascii="仿宋" w:hAnsi="仿宋" w:eastAsia="仿宋"/>
              </w:rPr>
              <w:t>建设相关内容</w:t>
            </w:r>
            <w:r>
              <w:rPr>
                <w:rFonts w:hint="eastAsia" w:ascii="仿宋" w:hAnsi="仿宋" w:eastAsia="仿宋"/>
              </w:rPr>
              <w:t>。</w:t>
            </w:r>
          </w:p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验收指标：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完成课程思政建设、教学模式改革、教学团队建设并以书面报告体现成果（包括教材</w:t>
            </w:r>
            <w:r>
              <w:rPr>
                <w:rFonts w:ascii="仿宋" w:hAnsi="仿宋" w:eastAsia="仿宋"/>
              </w:rPr>
              <w:t>、获奖证明、教学实践效果与成果推广等</w:t>
            </w:r>
            <w:r>
              <w:rPr>
                <w:rFonts w:hint="eastAsia" w:ascii="仿宋" w:hAnsi="仿宋" w:eastAsia="仿宋"/>
              </w:rPr>
              <w:t>）；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已开展示范</w:t>
            </w:r>
            <w:r>
              <w:rPr>
                <w:rFonts w:ascii="仿宋" w:hAnsi="仿宋" w:eastAsia="仿宋"/>
              </w:rPr>
              <w:t>观摩学习。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70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研究生</w:t>
            </w:r>
            <w:r>
              <w:rPr>
                <w:rFonts w:ascii="仿宋" w:hAnsi="仿宋" w:eastAsia="仿宋"/>
                <w:b/>
              </w:rPr>
              <w:t>精品网络课程建设</w:t>
            </w:r>
            <w:r>
              <w:rPr>
                <w:rFonts w:hint="eastAsia" w:ascii="仿宋" w:hAnsi="仿宋" w:eastAsia="仿宋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建设周期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：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2年</w:t>
            </w: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仿宋" w:hAnsi="仿宋" w:eastAsia="仿宋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中期指标：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完成课程的材料准备（含讲义、PPT等）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，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完成课程录制不少于50%。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验收指标：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完成课程录制，并在线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上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学习平台上发布教学视频。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</w:t>
            </w:r>
          </w:p>
        </w:tc>
        <w:tc>
          <w:tcPr>
            <w:tcW w:w="70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研究生全英文课程</w:t>
            </w:r>
            <w:r>
              <w:rPr>
                <w:rFonts w:ascii="仿宋" w:hAnsi="仿宋" w:eastAsia="仿宋"/>
                <w:b/>
              </w:rPr>
              <w:t>建设</w:t>
            </w:r>
            <w:r>
              <w:rPr>
                <w:rFonts w:hint="eastAsia" w:ascii="仿宋" w:hAnsi="仿宋" w:eastAsia="仿宋"/>
                <w:b/>
              </w:rPr>
              <w:t>子课题</w:t>
            </w:r>
          </w:p>
        </w:tc>
        <w:tc>
          <w:tcPr>
            <w:tcW w:w="3071" w:type="pct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建设周期：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年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中期指标：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完成课程的材料准备（PPT、讲义等）。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验收指标：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完成建设并</w:t>
            </w:r>
            <w:r>
              <w:rPr>
                <w:rFonts w:ascii="仿宋" w:hAnsi="仿宋" w:eastAsia="仿宋"/>
              </w:rPr>
              <w:t>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5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研究生教材建设类项目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研究生</w:t>
            </w:r>
            <w:r>
              <w:rPr>
                <w:rFonts w:ascii="仿宋" w:hAnsi="仿宋" w:eastAsia="仿宋"/>
                <w:b/>
              </w:rPr>
              <w:t>教材建设</w:t>
            </w:r>
            <w:r>
              <w:rPr>
                <w:rFonts w:hint="eastAsia" w:ascii="仿宋" w:hAnsi="仿宋" w:eastAsia="仿宋"/>
                <w:b/>
              </w:rPr>
              <w:t>子课题</w:t>
            </w:r>
          </w:p>
        </w:tc>
        <w:tc>
          <w:tcPr>
            <w:tcW w:w="3071" w:type="pc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建设周期：</w:t>
            </w:r>
            <w:r>
              <w:rPr>
                <w:rFonts w:hint="eastAsia" w:ascii="仿宋" w:hAnsi="仿宋" w:eastAsia="仿宋"/>
              </w:rPr>
              <w:t>2年</w:t>
            </w:r>
          </w:p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中期指标：</w:t>
            </w:r>
          </w:p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完成书稿的</w:t>
            </w:r>
            <w:r>
              <w:rPr>
                <w:rFonts w:ascii="仿宋" w:hAnsi="仿宋" w:eastAsia="仿宋"/>
              </w:rPr>
              <w:t>6</w:t>
            </w:r>
            <w:r>
              <w:rPr>
                <w:rFonts w:hint="eastAsia" w:ascii="仿宋" w:hAnsi="仿宋" w:eastAsia="仿宋"/>
              </w:rPr>
              <w:t>0%。</w:t>
            </w:r>
          </w:p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验收指标：</w:t>
            </w:r>
          </w:p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正式出版。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研究生教育研究类项目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拔尖创新人才培养/研究生教育治理体系建设等</w:t>
            </w:r>
          </w:p>
        </w:tc>
        <w:tc>
          <w:tcPr>
            <w:tcW w:w="3071" w:type="pc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建设周期：</w:t>
            </w:r>
            <w:r>
              <w:rPr>
                <w:rFonts w:hint="eastAsia" w:ascii="仿宋" w:hAnsi="仿宋" w:eastAsia="仿宋"/>
              </w:rPr>
              <w:t>2年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中期指标：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形成调研报告和改革方案。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验收指标：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教学改革取得显著成果、实践检验效果，包括高水平的教改论文、相关文件或配套的政策措施、校级及以上教学成果奖等。其它成果包括可推广借鉴的实践效果报告或成果推广报告等。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国家工程硕博士培养改革专项研究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培养方案/校企协同共建特色案例课程和案例教材/校企导师聘任/学位论文类型标准及评价/思政教育与管理</w:t>
            </w:r>
          </w:p>
        </w:tc>
        <w:tc>
          <w:tcPr>
            <w:tcW w:w="3071" w:type="pc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建设周期：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年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中期指标：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形成调研报告和改革方案，其中校企共建特色案例课程完成建设，并面向2</w:t>
            </w:r>
            <w:r>
              <w:rPr>
                <w:rFonts w:ascii="仿宋" w:hAnsi="仿宋" w:eastAsia="仿宋"/>
              </w:rPr>
              <w:t>022</w:t>
            </w:r>
            <w:r>
              <w:rPr>
                <w:rFonts w:hint="eastAsia" w:ascii="仿宋" w:hAnsi="仿宋" w:eastAsia="仿宋"/>
              </w:rPr>
              <w:t>级正常开设，案例教材编写3</w:t>
            </w:r>
            <w:r>
              <w:rPr>
                <w:rFonts w:ascii="仿宋" w:hAnsi="仿宋" w:eastAsia="仿宋"/>
              </w:rPr>
              <w:t>0%</w:t>
            </w:r>
            <w:r>
              <w:rPr>
                <w:rFonts w:hint="eastAsia" w:ascii="仿宋" w:hAnsi="仿宋" w:eastAsia="仿宋"/>
              </w:rPr>
              <w:t>以上。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验收指标：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教学改革取得显著成果、实践检验效果好，在卓越工程师培养方面具有很好的引领示范效应。主要成果包括但不限于：培养方案，校企共建特色案例课程和特色案例教材，研究生学位论文类型标准、模板及评价指标，相关文件或配套的政策措施，高水平的教改论文，校级及以上教学成果奖等。</w:t>
            </w:r>
          </w:p>
        </w:tc>
      </w:tr>
    </w:tbl>
    <w:p/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2：</w:t>
      </w:r>
      <w:r>
        <w:rPr>
          <w:rFonts w:hint="eastAsia" w:ascii="仿宋" w:hAnsi="仿宋" w:eastAsia="仿宋"/>
          <w:b/>
          <w:sz w:val="28"/>
          <w:szCs w:val="28"/>
        </w:rPr>
        <w:t>2022年</w:t>
      </w:r>
      <w:r>
        <w:rPr>
          <w:rFonts w:ascii="仿宋" w:hAnsi="仿宋" w:eastAsia="仿宋"/>
          <w:b/>
          <w:sz w:val="28"/>
          <w:szCs w:val="28"/>
        </w:rPr>
        <w:t>研究生教育</w:t>
      </w:r>
      <w:r>
        <w:rPr>
          <w:rFonts w:hint="eastAsia" w:ascii="仿宋" w:hAnsi="仿宋" w:eastAsia="仿宋"/>
          <w:b/>
          <w:sz w:val="28"/>
          <w:szCs w:val="28"/>
        </w:rPr>
        <w:t>质量</w:t>
      </w:r>
      <w:r>
        <w:rPr>
          <w:rFonts w:ascii="仿宋" w:hAnsi="仿宋" w:eastAsia="仿宋"/>
          <w:b/>
          <w:sz w:val="28"/>
          <w:szCs w:val="28"/>
        </w:rPr>
        <w:t>与创新工程</w:t>
      </w:r>
      <w:r>
        <w:rPr>
          <w:rFonts w:hint="eastAsia" w:ascii="仿宋" w:hAnsi="仿宋" w:eastAsia="仿宋"/>
          <w:b/>
          <w:sz w:val="28"/>
          <w:szCs w:val="28"/>
        </w:rPr>
        <w:t>项目立项申报指南</w:t>
      </w:r>
    </w:p>
    <w:p>
      <w:pPr>
        <w:spacing w:line="360" w:lineRule="auto"/>
        <w:rPr>
          <w:rFonts w:ascii="Times New Roman" w:hAnsi="Times New Roman" w:eastAsia="仿宋" w:cs="Times New Roman"/>
          <w:b/>
          <w:kern w:val="0"/>
          <w:sz w:val="24"/>
          <w:szCs w:val="28"/>
        </w:rPr>
      </w:pPr>
      <w:r>
        <w:rPr>
          <w:rFonts w:hint="eastAsia" w:ascii="Times New Roman" w:hAnsi="Times New Roman" w:eastAsia="仿宋" w:cs="Times New Roman"/>
          <w:b/>
          <w:kern w:val="0"/>
          <w:sz w:val="24"/>
          <w:szCs w:val="28"/>
        </w:rPr>
        <w:t>教师端：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24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8"/>
        </w:rPr>
        <w:t>登录研究生管理信息系统—选择 “教师”用户组—教育教学改革—立项申报—点击申请—填写相关内容，选择项目级别和项目类别后，根据系统显示的模板，下载填写完成后上传至系统—点击提交（提交成功后审批情况会在页面审核流显示）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24"/>
          <w:szCs w:val="28"/>
        </w:rPr>
      </w:pPr>
    </w:p>
    <w:p>
      <w:pPr>
        <w:spacing w:line="360" w:lineRule="auto"/>
        <w:rPr>
          <w:rFonts w:ascii="Times New Roman" w:hAnsi="Times New Roman" w:eastAsia="仿宋" w:cs="Times New Roman"/>
          <w:b/>
          <w:kern w:val="0"/>
          <w:sz w:val="24"/>
          <w:szCs w:val="28"/>
        </w:rPr>
      </w:pPr>
      <w:r>
        <w:rPr>
          <w:rFonts w:hint="eastAsia" w:ascii="Times New Roman" w:hAnsi="Times New Roman" w:eastAsia="仿宋" w:cs="Times New Roman"/>
          <w:b/>
          <w:kern w:val="0"/>
          <w:sz w:val="24"/>
          <w:szCs w:val="28"/>
        </w:rPr>
        <w:t>研究生教学秘书/教学副院长端：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24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8"/>
        </w:rPr>
        <w:t>登录研究生管理信息系统—选择院系秘书/学院研究院教学院长用户组—培养—教改项目管理—教改项目申报审核—选择申报年度、级别、类别、审核状态，进行审核，并提交审核结果（提交成功后审批情况会在页面审核流显示）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24"/>
          <w:szCs w:val="28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仿宋" w:cs="Times New Roman"/>
          <w:kern w:val="0"/>
          <w:sz w:val="24"/>
          <w:szCs w:val="28"/>
        </w:rPr>
      </w:pPr>
    </w:p>
    <w:p>
      <w:pPr>
        <w:widowControl/>
        <w:spacing w:line="360" w:lineRule="auto"/>
        <w:ind w:right="655" w:firstLine="561"/>
        <w:jc w:val="right"/>
        <w:rPr>
          <w:rFonts w:ascii="Times New Roman" w:hAnsi="Times New Roman" w:eastAsia="仿宋" w:cs="Times New Roman"/>
          <w:kern w:val="0"/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54755"/>
    <w:multiLevelType w:val="multilevel"/>
    <w:tmpl w:val="0CF5475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95CBA"/>
    <w:multiLevelType w:val="multilevel"/>
    <w:tmpl w:val="52B95CB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zQxMDNhYWViNWNkMDcxYTgyYWVlYjFhYjBlNWIifQ=="/>
  </w:docVars>
  <w:rsids>
    <w:rsidRoot w:val="00000000"/>
    <w:rsid w:val="4D1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2022-11-28T08:43:10Z</dcterms:created>
  <dc:creator>zhang</dc:creator>
  <cp:lastModifiedBy>zhang</cp:lastModifiedBy>
  <dcterms:modified xsi:type="dcterms:W3CDTF">2022-11-28T08:43:23Z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9C2DC14E132748BAB39BE58C6FBD105D</vt:lpwstr>
  </property>
</Properties>
</file>